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637A" w14:textId="6D340B12" w:rsidR="00795A4C" w:rsidRDefault="00795A4C" w:rsidP="00795A4C">
      <w:pPr>
        <w:pStyle w:val="FirstParagraph"/>
        <w:jc w:val="center"/>
        <w:rPr>
          <w:b/>
          <w:bCs/>
          <w:lang w:val="ru-RU"/>
        </w:rPr>
      </w:pPr>
      <w:bookmarkStart w:id="0" w:name="_Hlk189061981"/>
      <w:r w:rsidRPr="000105C6">
        <w:rPr>
          <w:b/>
          <w:bCs/>
          <w:noProof/>
          <w:sz w:val="16"/>
          <w:szCs w:val="16"/>
        </w:rPr>
        <w:drawing>
          <wp:inline distT="0" distB="0" distL="0" distR="0" wp14:anchorId="0099A3E2" wp14:editId="36FE7281">
            <wp:extent cx="2076201" cy="588108"/>
            <wp:effectExtent l="0" t="0" r="635" b="2540"/>
            <wp:docPr id="1" name="Рисунок 1" descr="Лого 1250 на белом обрез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1250 на белом обреза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64" cy="589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DCF184A" w14:textId="58EDE8BF" w:rsidR="00795A4C" w:rsidRPr="00795A4C" w:rsidRDefault="00D41341" w:rsidP="00795A4C">
      <w:pPr>
        <w:pStyle w:val="FirstParagraph"/>
        <w:spacing w:before="0" w:after="0"/>
        <w:jc w:val="center"/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>Семинар «</w:t>
      </w:r>
      <w:r w:rsidR="00341EE1" w:rsidRPr="00795A4C">
        <w:rPr>
          <w:rFonts w:ascii="Arial" w:hAnsi="Arial" w:cs="Arial"/>
          <w:b/>
          <w:bCs/>
          <w:lang w:val="ru-RU"/>
        </w:rPr>
        <w:t xml:space="preserve">Экономика труда и </w:t>
      </w:r>
      <w:r w:rsidR="00341EE1" w:rsidRPr="00795A4C">
        <w:rPr>
          <w:rFonts w:ascii="Arial" w:hAnsi="Arial" w:cs="Arial"/>
          <w:b/>
          <w:bCs/>
        </w:rPr>
        <w:t>HR</w:t>
      </w:r>
      <w:r w:rsidR="00341EE1" w:rsidRPr="00795A4C">
        <w:rPr>
          <w:rFonts w:ascii="Arial" w:hAnsi="Arial" w:cs="Arial"/>
          <w:b/>
          <w:bCs/>
          <w:lang w:val="ru-RU"/>
        </w:rPr>
        <w:t>-аналитика – инструменты повышения эффективности предприятия</w:t>
      </w:r>
      <w:r>
        <w:rPr>
          <w:rFonts w:ascii="Arial" w:hAnsi="Arial" w:cs="Arial"/>
          <w:b/>
          <w:bCs/>
          <w:lang w:val="ru-RU"/>
        </w:rPr>
        <w:t>»</w:t>
      </w:r>
    </w:p>
    <w:p w14:paraId="779AF0EC" w14:textId="0087364E" w:rsidR="00795A4C" w:rsidRPr="00795A4C" w:rsidRDefault="00795A4C" w:rsidP="00795A4C">
      <w:pPr>
        <w:spacing w:after="0"/>
        <w:jc w:val="center"/>
        <w:rPr>
          <w:rFonts w:ascii="Arial" w:eastAsia="Times New Roman" w:hAnsi="Arial" w:cs="Arial"/>
          <w:b/>
          <w:bCs/>
          <w:color w:val="000000"/>
          <w:lang w:val="ru-RU" w:eastAsia="ru-RU"/>
        </w:rPr>
      </w:pPr>
      <w:r w:rsidRPr="00795A4C">
        <w:rPr>
          <w:rFonts w:ascii="Arial" w:hAnsi="Arial" w:cs="Arial"/>
          <w:b/>
          <w:lang w:val="ru-RU"/>
        </w:rPr>
        <w:t>Дата проведения:</w:t>
      </w:r>
      <w:r w:rsidRPr="00795A4C">
        <w:rPr>
          <w:rFonts w:ascii="Arial" w:hAnsi="Arial" w:cs="Arial"/>
          <w:lang w:val="ru-RU"/>
        </w:rPr>
        <w:t xml:space="preserve"> </w:t>
      </w:r>
      <w:r w:rsidR="00FF3632">
        <w:rPr>
          <w:rFonts w:ascii="Arial" w:hAnsi="Arial" w:cs="Arial"/>
          <w:lang w:val="ru-RU"/>
        </w:rPr>
        <w:t>26-27 ноября</w:t>
      </w:r>
      <w:r>
        <w:rPr>
          <w:rFonts w:ascii="Arial" w:hAnsi="Arial" w:cs="Arial"/>
          <w:lang w:val="ru-RU"/>
        </w:rPr>
        <w:t xml:space="preserve"> 2026 г</w:t>
      </w:r>
    </w:p>
    <w:p w14:paraId="0E199249" w14:textId="77777777" w:rsidR="00795A4C" w:rsidRPr="00795A4C" w:rsidRDefault="00795A4C" w:rsidP="00795A4C">
      <w:pPr>
        <w:spacing w:after="0"/>
        <w:jc w:val="center"/>
        <w:rPr>
          <w:rFonts w:ascii="Arial" w:eastAsia="Times New Roman" w:hAnsi="Arial" w:cs="Arial"/>
          <w:bCs/>
          <w:color w:val="000000"/>
          <w:lang w:val="ru-RU" w:eastAsia="ru-RU"/>
        </w:rPr>
      </w:pPr>
      <w:r w:rsidRPr="00795A4C">
        <w:rPr>
          <w:rFonts w:ascii="Arial" w:eastAsia="Times New Roman" w:hAnsi="Arial" w:cs="Arial"/>
          <w:b/>
          <w:bCs/>
          <w:color w:val="000000"/>
          <w:lang w:val="ru-RU" w:eastAsia="ru-RU"/>
        </w:rPr>
        <w:t xml:space="preserve">Время проведения: </w:t>
      </w:r>
      <w:r w:rsidRPr="00795A4C">
        <w:rPr>
          <w:rFonts w:ascii="Arial" w:eastAsia="Times New Roman" w:hAnsi="Arial" w:cs="Arial"/>
          <w:bCs/>
          <w:color w:val="000000"/>
          <w:lang w:val="ru-RU" w:eastAsia="ru-RU"/>
        </w:rPr>
        <w:t>с 09.00 до 16.30 МСК</w:t>
      </w:r>
    </w:p>
    <w:p w14:paraId="060DBA70" w14:textId="49FDDA32" w:rsidR="00795A4C" w:rsidRPr="00795A4C" w:rsidRDefault="00795A4C" w:rsidP="00795A4C">
      <w:pPr>
        <w:spacing w:after="0"/>
        <w:jc w:val="center"/>
        <w:rPr>
          <w:rFonts w:ascii="Arial" w:hAnsi="Arial" w:cs="Arial"/>
          <w:b/>
          <w:lang w:val="ru-RU"/>
        </w:rPr>
      </w:pPr>
      <w:r w:rsidRPr="00795A4C">
        <w:rPr>
          <w:rFonts w:ascii="Arial" w:hAnsi="Arial" w:cs="Arial"/>
          <w:b/>
          <w:lang w:val="ru-RU"/>
        </w:rPr>
        <w:t>Формат проведения на выбор</w:t>
      </w:r>
      <w:r w:rsidR="00D41341" w:rsidRPr="00795A4C">
        <w:rPr>
          <w:rFonts w:ascii="Arial" w:hAnsi="Arial" w:cs="Arial"/>
          <w:b/>
          <w:lang w:val="ru-RU"/>
        </w:rPr>
        <w:t xml:space="preserve">: </w:t>
      </w:r>
      <w:r w:rsidR="00D41341">
        <w:rPr>
          <w:rFonts w:ascii="Arial" w:hAnsi="Arial" w:cs="Arial"/>
          <w:lang w:val="ru-RU"/>
        </w:rPr>
        <w:t>О</w:t>
      </w:r>
      <w:r w:rsidR="00D41341" w:rsidRPr="00795A4C">
        <w:rPr>
          <w:rFonts w:ascii="Arial" w:hAnsi="Arial" w:cs="Arial"/>
          <w:lang w:val="ru-RU"/>
        </w:rPr>
        <w:t>чно</w:t>
      </w:r>
      <w:r w:rsidRPr="00795A4C">
        <w:rPr>
          <w:rFonts w:ascii="Arial" w:hAnsi="Arial" w:cs="Arial"/>
          <w:lang w:val="ru-RU"/>
        </w:rPr>
        <w:t xml:space="preserve"> или Онлайн</w:t>
      </w:r>
    </w:p>
    <w:p w14:paraId="1A9C41F4" w14:textId="77777777" w:rsidR="00795A4C" w:rsidRPr="00795A4C" w:rsidRDefault="00795A4C" w:rsidP="00795A4C">
      <w:pPr>
        <w:pStyle w:val="a0"/>
        <w:rPr>
          <w:lang w:val="ru-RU"/>
        </w:rPr>
      </w:pPr>
    </w:p>
    <w:p w14:paraId="53FD6646" w14:textId="77777777" w:rsidR="001B087D" w:rsidRPr="000A5D06" w:rsidRDefault="00341EE1" w:rsidP="000A5D06">
      <w:pPr>
        <w:pStyle w:val="a0"/>
        <w:spacing w:before="0" w:after="0"/>
        <w:jc w:val="center"/>
        <w:rPr>
          <w:rFonts w:ascii="Arial" w:hAnsi="Arial" w:cs="Arial"/>
          <w:b/>
          <w:i/>
          <w:sz w:val="22"/>
          <w:szCs w:val="22"/>
          <w:lang w:val="ru-RU"/>
        </w:rPr>
      </w:pPr>
      <w:r w:rsidRPr="000A5D06">
        <w:rPr>
          <w:rFonts w:ascii="Arial" w:hAnsi="Arial" w:cs="Arial"/>
          <w:b/>
          <w:i/>
          <w:sz w:val="22"/>
          <w:szCs w:val="22"/>
          <w:lang w:val="ru-RU"/>
        </w:rPr>
        <w:t xml:space="preserve">Семинар для </w:t>
      </w:r>
      <w:r w:rsidRPr="000A5D06">
        <w:rPr>
          <w:rFonts w:ascii="Arial" w:hAnsi="Arial" w:cs="Arial"/>
          <w:b/>
          <w:i/>
          <w:sz w:val="22"/>
          <w:szCs w:val="22"/>
        </w:rPr>
        <w:t>HR</w:t>
      </w:r>
      <w:r w:rsidRPr="000A5D06">
        <w:rPr>
          <w:rFonts w:ascii="Arial" w:hAnsi="Arial" w:cs="Arial"/>
          <w:b/>
          <w:i/>
          <w:sz w:val="22"/>
          <w:szCs w:val="22"/>
          <w:lang w:val="ru-RU"/>
        </w:rPr>
        <w:t xml:space="preserve"> специалистов и экономистов по труду.</w:t>
      </w:r>
    </w:p>
    <w:p w14:paraId="088867B6" w14:textId="7AAF9B67" w:rsidR="001B087D" w:rsidRDefault="00341EE1" w:rsidP="000A5D06">
      <w:pPr>
        <w:pStyle w:val="a0"/>
        <w:spacing w:before="0" w:after="0"/>
        <w:jc w:val="center"/>
        <w:rPr>
          <w:rFonts w:ascii="Arial" w:hAnsi="Arial" w:cs="Arial"/>
          <w:i/>
          <w:sz w:val="22"/>
          <w:szCs w:val="22"/>
          <w:lang w:val="ru-RU"/>
        </w:rPr>
      </w:pPr>
      <w:r w:rsidRPr="000A5D06">
        <w:rPr>
          <w:rFonts w:ascii="Arial" w:hAnsi="Arial" w:cs="Arial"/>
          <w:i/>
          <w:sz w:val="22"/>
          <w:szCs w:val="22"/>
          <w:lang w:val="ru-RU"/>
        </w:rPr>
        <w:t xml:space="preserve">Цель – изучить инструменты повышения эффективности работы компании и персонала в области кадровых процессов: анализа и </w:t>
      </w:r>
      <w:r w:rsidR="00D41341" w:rsidRPr="000A5D06">
        <w:rPr>
          <w:rFonts w:ascii="Arial" w:hAnsi="Arial" w:cs="Arial"/>
          <w:i/>
          <w:sz w:val="22"/>
          <w:szCs w:val="22"/>
          <w:lang w:val="ru-RU"/>
        </w:rPr>
        <w:t>планирования численности,</w:t>
      </w:r>
      <w:r w:rsidRPr="000A5D06">
        <w:rPr>
          <w:rFonts w:ascii="Arial" w:hAnsi="Arial" w:cs="Arial"/>
          <w:i/>
          <w:sz w:val="22"/>
          <w:szCs w:val="22"/>
          <w:lang w:val="ru-RU"/>
        </w:rPr>
        <w:t xml:space="preserve"> и ФОТ; систем оценки эффективности и производительности труда персонала, систем вознаграждения, подбора, текущей квалификации и планируемого обучения персонала. Результаты анализа могут использоваться для отчетности, принятия решений руководством, совершенствования процессов и организационной структуры.</w:t>
      </w:r>
    </w:p>
    <w:p w14:paraId="55612102" w14:textId="77777777" w:rsidR="00314B73" w:rsidRPr="000A5D06" w:rsidRDefault="00314B73" w:rsidP="002A2FE1">
      <w:pPr>
        <w:pStyle w:val="a0"/>
        <w:spacing w:before="0" w:after="0"/>
        <w:rPr>
          <w:rFonts w:ascii="Arial" w:hAnsi="Arial" w:cs="Arial"/>
          <w:i/>
          <w:sz w:val="22"/>
          <w:szCs w:val="22"/>
          <w:lang w:val="ru-RU"/>
        </w:rPr>
      </w:pPr>
    </w:p>
    <w:p w14:paraId="73FF54DB" w14:textId="77777777" w:rsidR="001B087D" w:rsidRPr="00614715" w:rsidRDefault="00B10445" w:rsidP="0061471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604F24C4">
          <v:rect id="_x0000_i1025" style="width:0;height:1.5pt" o:hralign="center" o:hrstd="t" o:hr="t"/>
        </w:pict>
      </w:r>
    </w:p>
    <w:p w14:paraId="2567480D" w14:textId="77777777" w:rsidR="001B087D" w:rsidRPr="00614715" w:rsidRDefault="00341EE1" w:rsidP="00614715">
      <w:pPr>
        <w:pStyle w:val="FirstParagraph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День 1. Анализ текущих данных с «нулевого» базиса, «как есть».</w:t>
      </w:r>
    </w:p>
    <w:p w14:paraId="22CB6360" w14:textId="77777777" w:rsidR="0093139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Модуль 1. Экономика труда и </w:t>
      </w:r>
      <w:r w:rsidRPr="00614715">
        <w:rPr>
          <w:rFonts w:ascii="Arial" w:hAnsi="Arial" w:cs="Arial"/>
          <w:b/>
          <w:bCs/>
          <w:sz w:val="22"/>
          <w:szCs w:val="22"/>
        </w:rPr>
        <w:t>HR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-аналитика: различия и точки соприкосновения.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0643E32F" w14:textId="1368FF3A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Взаимосвязь стратегии развития предприятия и формирования кадровой политики.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Цели и виды анализа данных: </w:t>
      </w:r>
      <w:r w:rsidR="00F66BFF" w:rsidRPr="00614715">
        <w:rPr>
          <w:rFonts w:ascii="Arial" w:hAnsi="Arial" w:cs="Arial"/>
          <w:sz w:val="22"/>
          <w:szCs w:val="22"/>
        </w:rPr>
        <w:t>GAP</w:t>
      </w:r>
      <w:r w:rsidRPr="00614715">
        <w:rPr>
          <w:rFonts w:ascii="Arial" w:hAnsi="Arial" w:cs="Arial"/>
          <w:sz w:val="22"/>
          <w:szCs w:val="22"/>
          <w:lang w:val="ru-RU"/>
        </w:rPr>
        <w:t>-анализ, факторный анализ, использование панельных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Источники и объем исходных данных. Процесс сбора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Структура, категории и сегментирование персонала.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Бенчмарки по структуре персонала в разных странах.</w:t>
      </w:r>
    </w:p>
    <w:p w14:paraId="3E140539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3196EC9E" w14:textId="77777777" w:rsidR="00F66BFF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2. Анализ эффективности кадровых процессов.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BD900AC" w14:textId="77777777" w:rsidR="00314B73" w:rsidRDefault="00341EE1" w:rsidP="00614715">
      <w:pPr>
        <w:pStyle w:val="a0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Привлечение и удержание персонала: текучесть кадров как естественный процесс.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показателей стабильности состава и текучести кадров.</w:t>
      </w:r>
      <w:r w:rsidRPr="00614715">
        <w:rPr>
          <w:rFonts w:ascii="Arial" w:hAnsi="Arial" w:cs="Arial"/>
          <w:sz w:val="22"/>
          <w:szCs w:val="22"/>
          <w:lang w:val="ru-RU"/>
        </w:rPr>
        <w:br/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 Расчет стоимости текучести (</w:t>
      </w:r>
      <w:r w:rsidRPr="00614715">
        <w:rPr>
          <w:rFonts w:ascii="Arial" w:hAnsi="Arial" w:cs="Arial"/>
          <w:b/>
          <w:bCs/>
          <w:sz w:val="22"/>
          <w:szCs w:val="22"/>
        </w:rPr>
        <w:t>cost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b/>
          <w:bCs/>
          <w:sz w:val="22"/>
          <w:szCs w:val="22"/>
        </w:rPr>
        <w:t>of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b/>
          <w:bCs/>
          <w:sz w:val="22"/>
          <w:szCs w:val="22"/>
        </w:rPr>
        <w:t>turnover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) и затрат на замену персонала. </w:t>
      </w:r>
    </w:p>
    <w:p w14:paraId="756F27FC" w14:textId="71EC933A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Качество персонала (квалификация): анализ квалификации персонала в сравнении с потребностями в знаниях, умениях и навыках.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Использование профстандартов, должностных инструкций, моделей компетенций, чек-листов.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эффективности обучения и развития (кадровый резерв).</w:t>
      </w:r>
    </w:p>
    <w:p w14:paraId="600E032F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43C9FE47" w14:textId="77777777" w:rsidR="00314B73" w:rsidRDefault="00341EE1" w:rsidP="00614715">
      <w:pPr>
        <w:pStyle w:val="a0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3. Анализ эффективности работы персонала и производительность труда.</w:t>
      </w:r>
    </w:p>
    <w:p w14:paraId="445DEB4D" w14:textId="6EFB8FD6" w:rsidR="001B087D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 xml:space="preserve"> - Анализ производительности труда и эффективности использования рабочего времени в эпоху гибридного формата.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рабочей нагрузки и загрузки персонала.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Нормы труда, времени, выработки, обслуживания и нормы численности.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Стоимость персонала </w:t>
      </w:r>
      <w:r w:rsidRPr="00614715">
        <w:rPr>
          <w:rFonts w:ascii="Arial" w:hAnsi="Arial" w:cs="Arial"/>
          <w:sz w:val="22"/>
          <w:szCs w:val="22"/>
        </w:rPr>
        <w:t>vs</w:t>
      </w:r>
      <w:r w:rsidRPr="00614715">
        <w:rPr>
          <w:rFonts w:ascii="Arial" w:hAnsi="Arial" w:cs="Arial"/>
          <w:sz w:val="22"/>
          <w:szCs w:val="22"/>
          <w:lang w:val="ru-RU"/>
        </w:rPr>
        <w:t>.</w:t>
      </w:r>
      <w:r w:rsidRPr="00614715">
        <w:rPr>
          <w:rFonts w:ascii="Arial" w:hAnsi="Arial" w:cs="Arial"/>
          <w:sz w:val="22"/>
          <w:szCs w:val="22"/>
        </w:rPr>
        <w:t> </w:t>
      </w:r>
      <w:r w:rsidRPr="00614715">
        <w:rPr>
          <w:rFonts w:ascii="Arial" w:hAnsi="Arial" w:cs="Arial"/>
          <w:sz w:val="22"/>
          <w:szCs w:val="22"/>
          <w:lang w:val="ru-RU"/>
        </w:rPr>
        <w:t>создаваемая ценность.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Использование </w:t>
      </w:r>
      <w:r w:rsidRPr="00614715">
        <w:rPr>
          <w:rFonts w:ascii="Arial" w:hAnsi="Arial" w:cs="Arial"/>
          <w:sz w:val="22"/>
          <w:szCs w:val="22"/>
        </w:rPr>
        <w:t>KPI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и </w:t>
      </w:r>
      <w:r w:rsidRPr="00614715">
        <w:rPr>
          <w:rFonts w:ascii="Arial" w:hAnsi="Arial" w:cs="Arial"/>
          <w:sz w:val="22"/>
          <w:szCs w:val="22"/>
        </w:rPr>
        <w:t>OKR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для оценки эффективности труда.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Методы оценки </w:t>
      </w:r>
      <w:r w:rsidR="00F66BFF" w:rsidRPr="00614715">
        <w:rPr>
          <w:rFonts w:ascii="Arial" w:hAnsi="Arial" w:cs="Arial"/>
          <w:sz w:val="22"/>
          <w:szCs w:val="22"/>
          <w:lang w:val="ru-RU"/>
        </w:rPr>
        <w:t xml:space="preserve">эффективности </w:t>
      </w:r>
      <w:r w:rsidRPr="00614715">
        <w:rPr>
          <w:rFonts w:ascii="Arial" w:hAnsi="Arial" w:cs="Arial"/>
          <w:sz w:val="22"/>
          <w:szCs w:val="22"/>
          <w:lang w:val="ru-RU"/>
        </w:rPr>
        <w:t>в проектной работе и кросс-функциональных командах.</w:t>
      </w:r>
    </w:p>
    <w:p w14:paraId="5DCC03DD" w14:textId="77777777" w:rsidR="00F66BFF" w:rsidRPr="00614715" w:rsidRDefault="00F66BFF" w:rsidP="00614715">
      <w:pPr>
        <w:pStyle w:val="a0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0BB2F5C9" w14:textId="19689FED" w:rsidR="00F66BFF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4. Анализ системы вознаграждения и ФОТ.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6218D372" w14:textId="560151FB" w:rsidR="001B087D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Анализ перерасхода/экономии фонда заработной платы.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Анализ элементов нематериальной мотивации.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Сравнительный анализ структуры выплат: фиксированная/переменная часть, льготы.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Влияние технологических изменений на социальную справедливость в оплате труда.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Использование </w:t>
      </w:r>
      <w:r w:rsidRPr="00614715">
        <w:rPr>
          <w:rFonts w:ascii="Arial" w:hAnsi="Arial" w:cs="Arial"/>
          <w:sz w:val="22"/>
          <w:szCs w:val="22"/>
        </w:rPr>
        <w:t>HR</w:t>
      </w:r>
      <w:r w:rsidRPr="00614715">
        <w:rPr>
          <w:rFonts w:ascii="Arial" w:hAnsi="Arial" w:cs="Arial"/>
          <w:sz w:val="22"/>
          <w:szCs w:val="22"/>
          <w:lang w:val="ru-RU"/>
        </w:rPr>
        <w:t>-аналитики для выявления резервов и контроля затрат на персонал.</w:t>
      </w:r>
    </w:p>
    <w:p w14:paraId="6D749A86" w14:textId="77777777" w:rsidR="001B087D" w:rsidRPr="00614715" w:rsidRDefault="00B10445" w:rsidP="00614715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57425343">
          <v:rect id="_x0000_i1026" style="width:0;height:1.5pt" o:hralign="center" o:hrstd="t" o:hr="t"/>
        </w:pict>
      </w:r>
    </w:p>
    <w:p w14:paraId="7A6122CA" w14:textId="77777777" w:rsidR="00360AF7" w:rsidRDefault="00360AF7" w:rsidP="00614715">
      <w:pPr>
        <w:pStyle w:val="FirstParagraph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0F493CE5" w14:textId="77777777" w:rsidR="00360AF7" w:rsidRDefault="00360AF7" w:rsidP="00614715">
      <w:pPr>
        <w:pStyle w:val="FirstParagraph"/>
        <w:spacing w:before="0" w:after="0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2D58E5EA" w14:textId="7B8097B7" w:rsidR="001B087D" w:rsidRPr="00614715" w:rsidRDefault="00341EE1" w:rsidP="00614715">
      <w:pPr>
        <w:pStyle w:val="FirstParagraph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День 2. Планирование и прогнозирование.</w:t>
      </w:r>
    </w:p>
    <w:p w14:paraId="41AB9226" w14:textId="77777777" w:rsidR="00314B7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Модуль 5. Долгосрочное кадровое планирование в условиях </w:t>
      </w:r>
      <w:r w:rsidRPr="00614715">
        <w:rPr>
          <w:rFonts w:ascii="Arial" w:hAnsi="Arial" w:cs="Arial"/>
          <w:b/>
          <w:bCs/>
          <w:sz w:val="22"/>
          <w:szCs w:val="22"/>
        </w:rPr>
        <w:t>VUCA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-мира.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67916C0" w14:textId="0A3C2D89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Влияние демографических трендов и устойчивого развития.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Современные </w:t>
      </w:r>
      <w:r w:rsidRPr="00614715">
        <w:rPr>
          <w:rFonts w:ascii="Arial" w:hAnsi="Arial" w:cs="Arial"/>
          <w:sz w:val="22"/>
          <w:szCs w:val="22"/>
        </w:rPr>
        <w:t>HR</w:t>
      </w:r>
      <w:r w:rsidRPr="00614715">
        <w:rPr>
          <w:rFonts w:ascii="Arial" w:hAnsi="Arial" w:cs="Arial"/>
          <w:sz w:val="22"/>
          <w:szCs w:val="22"/>
          <w:lang w:val="ru-RU"/>
        </w:rPr>
        <w:t>-модели занятости: гибридные форматы, фриланс, диверсификация персонала.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Демографический профиль персонала и его учет в стратегическом планировании.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Как планировать численность и состав, когда рынок непредсказуем? Методы сценарного планирования и прогнозирования, </w:t>
      </w:r>
      <w:r w:rsidRPr="00614715">
        <w:rPr>
          <w:rFonts w:ascii="Arial" w:hAnsi="Arial" w:cs="Arial"/>
          <w:sz w:val="22"/>
          <w:szCs w:val="22"/>
        </w:rPr>
        <w:t>agile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-подходы в </w:t>
      </w:r>
      <w:r w:rsidRPr="00614715">
        <w:rPr>
          <w:rFonts w:ascii="Arial" w:hAnsi="Arial" w:cs="Arial"/>
          <w:sz w:val="22"/>
          <w:szCs w:val="22"/>
        </w:rPr>
        <w:t>HR</w:t>
      </w:r>
      <w:r w:rsidRPr="00614715">
        <w:rPr>
          <w:rFonts w:ascii="Arial" w:hAnsi="Arial" w:cs="Arial"/>
          <w:sz w:val="22"/>
          <w:szCs w:val="22"/>
          <w:lang w:val="ru-RU"/>
        </w:rPr>
        <w:t>: построение сценариев, экстраполяция, моделирование, прогнозирование на основании трендов, экспертная оценка, балансовый метод, сравнительный анализ.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Лучшие практики кадрового планирования международных компаний.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Планирование численности штатных единиц (</w:t>
      </w:r>
      <w:r w:rsidRPr="00614715">
        <w:rPr>
          <w:rFonts w:ascii="Arial" w:hAnsi="Arial" w:cs="Arial"/>
          <w:sz w:val="22"/>
          <w:szCs w:val="22"/>
        </w:rPr>
        <w:t>FTE</w:t>
      </w:r>
      <w:r w:rsidRPr="00614715">
        <w:rPr>
          <w:rFonts w:ascii="Arial" w:hAnsi="Arial" w:cs="Arial"/>
          <w:sz w:val="22"/>
          <w:szCs w:val="22"/>
          <w:lang w:val="ru-RU"/>
        </w:rPr>
        <w:t>-эквивалент) в смешанном формате (офис + фрилансеры, аутстаффинг).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Способы расчета численности работников: явочная, списочная, штатная.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Резервы роста производительности труда и загрузки сотрудников.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Методы интеграции социальных показателей в систему планирования кадров.</w:t>
      </w:r>
    </w:p>
    <w:p w14:paraId="67BDB78E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584BE066" w14:textId="77777777" w:rsidR="00314B7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6. Снижение текучести и повышение качества персонала.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2E6AAE4D" w14:textId="6E128A2D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Оценка факторов, влияющих на изменение текучести кадров.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текучести кадров и превентивные меры. Современные подходы: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</w:t>
      </w:r>
      <w:r w:rsidRPr="00614715">
        <w:rPr>
          <w:rFonts w:ascii="Arial" w:hAnsi="Arial" w:cs="Arial"/>
          <w:sz w:val="22"/>
          <w:szCs w:val="22"/>
        </w:rPr>
        <w:t>Predictive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sz w:val="22"/>
          <w:szCs w:val="22"/>
        </w:rPr>
        <w:t>analytics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для прогнозирования увольнений.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</w:t>
      </w:r>
      <w:r w:rsidRPr="00614715">
        <w:rPr>
          <w:rFonts w:ascii="Arial" w:hAnsi="Arial" w:cs="Arial"/>
          <w:sz w:val="22"/>
          <w:szCs w:val="22"/>
        </w:rPr>
        <w:t>Stay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-интервью вместо </w:t>
      </w:r>
      <w:r w:rsidRPr="00614715">
        <w:rPr>
          <w:rFonts w:ascii="Arial" w:hAnsi="Arial" w:cs="Arial"/>
          <w:sz w:val="22"/>
          <w:szCs w:val="22"/>
        </w:rPr>
        <w:t>exit</w:t>
      </w:r>
      <w:r w:rsidRPr="00614715">
        <w:rPr>
          <w:rFonts w:ascii="Arial" w:hAnsi="Arial" w:cs="Arial"/>
          <w:sz w:val="22"/>
          <w:szCs w:val="22"/>
          <w:lang w:val="ru-RU"/>
        </w:rPr>
        <w:t>-интервью.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</w:t>
      </w:r>
      <w:r w:rsidRPr="00614715">
        <w:rPr>
          <w:rFonts w:ascii="Arial" w:hAnsi="Arial" w:cs="Arial"/>
          <w:sz w:val="22"/>
          <w:szCs w:val="22"/>
        </w:rPr>
        <w:t>Pulse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-опросы и </w:t>
      </w:r>
      <w:r w:rsidRPr="00614715">
        <w:rPr>
          <w:rFonts w:ascii="Arial" w:hAnsi="Arial" w:cs="Arial"/>
          <w:sz w:val="22"/>
          <w:szCs w:val="22"/>
        </w:rPr>
        <w:t>NPS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сотрудников.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 xml:space="preserve">- Построение </w:t>
      </w:r>
      <w:r w:rsidRPr="00614715">
        <w:rPr>
          <w:rFonts w:ascii="Arial" w:hAnsi="Arial" w:cs="Arial"/>
          <w:sz w:val="22"/>
          <w:szCs w:val="22"/>
        </w:rPr>
        <w:t>retention</w:t>
      </w:r>
      <w:r w:rsidRPr="00614715">
        <w:rPr>
          <w:rFonts w:ascii="Arial" w:hAnsi="Arial" w:cs="Arial"/>
          <w:sz w:val="22"/>
          <w:szCs w:val="22"/>
          <w:lang w:val="ru-RU"/>
        </w:rPr>
        <w:t>-стратегий на основе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«Матрица переходов» как инструмент прогнозирования оттока и планирования персонала.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компетенций будущего и их влияние на кадровую структуру.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Методы оценки и развития навыков, новых профессий в цифровой экономике.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качества и квалификации рабочей силы.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Подходы к непрерывному обучению и переобучению, повышению квалификации (</w:t>
      </w:r>
      <w:r w:rsidRPr="00614715">
        <w:rPr>
          <w:rFonts w:ascii="Arial" w:hAnsi="Arial" w:cs="Arial"/>
          <w:sz w:val="22"/>
          <w:szCs w:val="22"/>
        </w:rPr>
        <w:t>reskilling</w:t>
      </w:r>
      <w:r w:rsidRPr="00614715">
        <w:rPr>
          <w:rFonts w:ascii="Arial" w:hAnsi="Arial" w:cs="Arial"/>
          <w:sz w:val="22"/>
          <w:szCs w:val="22"/>
          <w:lang w:val="ru-RU"/>
        </w:rPr>
        <w:t>/</w:t>
      </w:r>
      <w:r w:rsidRPr="00614715">
        <w:rPr>
          <w:rFonts w:ascii="Arial" w:hAnsi="Arial" w:cs="Arial"/>
          <w:sz w:val="22"/>
          <w:szCs w:val="22"/>
        </w:rPr>
        <w:t>upskilling</w:t>
      </w:r>
      <w:r w:rsidRPr="00614715">
        <w:rPr>
          <w:rFonts w:ascii="Arial" w:hAnsi="Arial" w:cs="Arial"/>
          <w:sz w:val="22"/>
          <w:szCs w:val="22"/>
          <w:lang w:val="ru-RU"/>
        </w:rPr>
        <w:t>) как элементу кадрового планирования.</w:t>
      </w:r>
    </w:p>
    <w:p w14:paraId="7F738F7A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16224022" w14:textId="77777777" w:rsidR="00D6145E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>Модуль 7. Планирование ФОТ и бюджета затрат на персонал в условиях ограничений.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4DAD7EB0" w14:textId="0F543515" w:rsidR="001B087D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Планирование ФОТ с нулевого базиса (</w:t>
      </w:r>
      <w:r w:rsidRPr="00614715">
        <w:rPr>
          <w:rFonts w:ascii="Arial" w:hAnsi="Arial" w:cs="Arial"/>
          <w:sz w:val="22"/>
          <w:szCs w:val="22"/>
        </w:rPr>
        <w:t>Zero</w:t>
      </w:r>
      <w:r w:rsidRPr="00614715">
        <w:rPr>
          <w:rFonts w:ascii="Arial" w:hAnsi="Arial" w:cs="Arial"/>
          <w:sz w:val="22"/>
          <w:szCs w:val="22"/>
          <w:lang w:val="ru-RU"/>
        </w:rPr>
        <w:t>-</w:t>
      </w:r>
      <w:r w:rsidRPr="00614715">
        <w:rPr>
          <w:rFonts w:ascii="Arial" w:hAnsi="Arial" w:cs="Arial"/>
          <w:sz w:val="22"/>
          <w:szCs w:val="22"/>
        </w:rPr>
        <w:t>based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  <w:r w:rsidRPr="00614715">
        <w:rPr>
          <w:rFonts w:ascii="Arial" w:hAnsi="Arial" w:cs="Arial"/>
          <w:sz w:val="22"/>
          <w:szCs w:val="22"/>
        </w:rPr>
        <w:t>budgeting</w:t>
      </w:r>
      <w:r w:rsidRPr="00614715">
        <w:rPr>
          <w:rFonts w:ascii="Arial" w:hAnsi="Arial" w:cs="Arial"/>
          <w:sz w:val="22"/>
          <w:szCs w:val="22"/>
          <w:lang w:val="ru-RU"/>
        </w:rPr>
        <w:t>): пересобираем фонд с нуля каждый год.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Бенчмаркинг зарплат и использование рыночных данных.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Планирование ФОТ с учетом современных моделей – оплата за навыки, за стаж, за эффективность, за вклад.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Оценка степени влияния факторов отклонения фактических расходов на оплату труда от плановых.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Прогнозирование уровня рыночных зарплат. Факторы, влияющие на величину заработной платы.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Методы гибкого управления ФЗП: сплит-фонды, переменные схемы оплаты, способы оперативного регулирования.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Оптимизация ФЗП в условиях нестабильности.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Практические кейсы по оптимизации ФОТ при ограниченном бюджете.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Возврат инвестиций в человеческий капитал (</w:t>
      </w:r>
      <w:r w:rsidRPr="00614715">
        <w:rPr>
          <w:rFonts w:ascii="Arial" w:hAnsi="Arial" w:cs="Arial"/>
          <w:sz w:val="22"/>
          <w:szCs w:val="22"/>
        </w:rPr>
        <w:t>HCROI</w:t>
      </w:r>
      <w:r w:rsidRPr="00614715">
        <w:rPr>
          <w:rFonts w:ascii="Arial" w:hAnsi="Arial" w:cs="Arial"/>
          <w:sz w:val="22"/>
          <w:szCs w:val="22"/>
          <w:lang w:val="ru-RU"/>
        </w:rPr>
        <w:t>).</w:t>
      </w:r>
    </w:p>
    <w:p w14:paraId="2C85208D" w14:textId="77777777" w:rsidR="00D6145E" w:rsidRPr="00614715" w:rsidRDefault="00D6145E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4932085B" w14:textId="77777777" w:rsidR="00314B73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b/>
          <w:bCs/>
          <w:sz w:val="22"/>
          <w:szCs w:val="22"/>
          <w:lang w:val="ru-RU"/>
        </w:rPr>
        <w:t xml:space="preserve">Модуль 8. Трансформация </w:t>
      </w:r>
      <w:r w:rsidRPr="00614715">
        <w:rPr>
          <w:rFonts w:ascii="Arial" w:hAnsi="Arial" w:cs="Arial"/>
          <w:b/>
          <w:bCs/>
          <w:sz w:val="22"/>
          <w:szCs w:val="22"/>
        </w:rPr>
        <w:t>HR</w:t>
      </w:r>
      <w:r w:rsidRPr="00614715">
        <w:rPr>
          <w:rFonts w:ascii="Arial" w:hAnsi="Arial" w:cs="Arial"/>
          <w:b/>
          <w:bCs/>
          <w:sz w:val="22"/>
          <w:szCs w:val="22"/>
          <w:lang w:val="ru-RU"/>
        </w:rPr>
        <w:t>-показателей в финансовую результативность.</w:t>
      </w:r>
      <w:r w:rsidRPr="00614715"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13E2010E" w14:textId="372CB53F" w:rsidR="001B087D" w:rsidRPr="00614715" w:rsidRDefault="00341EE1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  <w:r w:rsidRPr="00614715">
        <w:rPr>
          <w:rFonts w:ascii="Arial" w:hAnsi="Arial" w:cs="Arial"/>
          <w:sz w:val="22"/>
          <w:szCs w:val="22"/>
          <w:lang w:val="ru-RU"/>
        </w:rPr>
        <w:t>- Коммуникация результатов планирования и анализа различным стейкхолдерам (заинтересованным лицам).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Виды и периодичность отчетов.</w:t>
      </w:r>
      <w:r w:rsidRPr="00614715">
        <w:rPr>
          <w:rFonts w:ascii="Arial" w:hAnsi="Arial" w:cs="Arial"/>
          <w:sz w:val="22"/>
          <w:szCs w:val="22"/>
          <w:lang w:val="ru-RU"/>
        </w:rPr>
        <w:br/>
        <w:t>- Развитие системы оценки эффективности и аналитики, планирования и прогнозирования в компании.</w:t>
      </w:r>
      <w:r w:rsidRPr="00614715">
        <w:rPr>
          <w:rFonts w:ascii="Arial" w:hAnsi="Arial" w:cs="Arial"/>
          <w:sz w:val="22"/>
          <w:szCs w:val="22"/>
          <w:lang w:val="ru-RU"/>
        </w:rPr>
        <w:br/>
        <w:t>- Примеры форматов отчетов для разных групп стейкхолдеров (</w:t>
      </w:r>
      <w:r w:rsidRPr="00614715">
        <w:rPr>
          <w:rFonts w:ascii="Arial" w:hAnsi="Arial" w:cs="Arial"/>
          <w:sz w:val="22"/>
          <w:szCs w:val="22"/>
        </w:rPr>
        <w:t>CEO</w:t>
      </w:r>
      <w:r w:rsidRPr="00614715">
        <w:rPr>
          <w:rFonts w:ascii="Arial" w:hAnsi="Arial" w:cs="Arial"/>
          <w:sz w:val="22"/>
          <w:szCs w:val="22"/>
          <w:lang w:val="ru-RU"/>
        </w:rPr>
        <w:t>, акционеры, линейный менеджмент).</w:t>
      </w:r>
    </w:p>
    <w:p w14:paraId="040E53F6" w14:textId="77777777" w:rsidR="00F66BFF" w:rsidRPr="00614715" w:rsidRDefault="00F66BFF" w:rsidP="00614715">
      <w:pPr>
        <w:pStyle w:val="a0"/>
        <w:spacing w:before="0" w:after="0"/>
        <w:rPr>
          <w:rFonts w:ascii="Arial" w:hAnsi="Arial" w:cs="Arial"/>
          <w:sz w:val="22"/>
          <w:szCs w:val="22"/>
          <w:lang w:val="ru-RU"/>
        </w:rPr>
      </w:pPr>
    </w:p>
    <w:p w14:paraId="1967D57A" w14:textId="6F4A8770" w:rsidR="00D6145E" w:rsidRPr="00D6145E" w:rsidRDefault="00D6145E" w:rsidP="00D51EE6">
      <w:pPr>
        <w:spacing w:after="0"/>
        <w:rPr>
          <w:rFonts w:ascii="Arial" w:hAnsi="Arial" w:cs="Arial"/>
          <w:b/>
          <w:lang w:val="ru-RU"/>
        </w:rPr>
      </w:pPr>
      <w:r w:rsidRPr="00D6145E">
        <w:rPr>
          <w:rFonts w:ascii="Arial" w:hAnsi="Arial" w:cs="Arial"/>
          <w:b/>
          <w:i/>
          <w:sz w:val="22"/>
          <w:szCs w:val="22"/>
          <w:lang w:val="ru-RU"/>
        </w:rPr>
        <w:t>Теория – 30-40%, практика – 60-70%.</w:t>
      </w:r>
    </w:p>
    <w:p w14:paraId="47A412FF" w14:textId="77777777" w:rsidR="00341EE1" w:rsidRDefault="00341EE1" w:rsidP="00341EE1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14:paraId="09A37DFD" w14:textId="7C799B12" w:rsidR="00341EE1" w:rsidRPr="002A2FE1" w:rsidRDefault="00341EE1" w:rsidP="00341EE1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2A2FE1">
        <w:rPr>
          <w:rFonts w:ascii="Arial" w:hAnsi="Arial" w:cs="Arial"/>
          <w:b/>
          <w:sz w:val="20"/>
          <w:szCs w:val="20"/>
          <w:lang w:val="ru-RU"/>
        </w:rPr>
        <w:t>Автор и ведущий:Бодрова Ольга Артуровна, к.э.н,, магистр делового администрирования, преподаватель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</w:t>
      </w:r>
      <w:r w:rsidRPr="002A2FE1">
        <w:rPr>
          <w:rFonts w:ascii="Arial" w:hAnsi="Arial" w:cs="Arial"/>
          <w:sz w:val="20"/>
          <w:szCs w:val="20"/>
        </w:rPr>
        <w:t>MBA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(ВШЭ, МИРБИС, МГИМО, </w:t>
      </w:r>
      <w:r w:rsidRPr="002A2FE1">
        <w:rPr>
          <w:rFonts w:ascii="Arial" w:hAnsi="Arial" w:cs="Arial"/>
          <w:sz w:val="20"/>
          <w:szCs w:val="20"/>
        </w:rPr>
        <w:t>IBS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при Академии Плеханова, КУ Газпром),</w:t>
      </w:r>
      <w:r w:rsidRPr="002A2FE1">
        <w:rPr>
          <w:rFonts w:ascii="Arial" w:hAnsi="Arial" w:cs="Arial"/>
          <w:sz w:val="20"/>
          <w:szCs w:val="20"/>
        </w:rPr>
        <w:t> 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бизнес-тренер, консультант по управлению персоналом, карьерный коуч. Практикующий директор по персоналу со стажем </w:t>
      </w:r>
      <w:r w:rsidRPr="002A2FE1">
        <w:rPr>
          <w:rFonts w:ascii="Arial" w:hAnsi="Arial" w:cs="Arial"/>
          <w:sz w:val="20"/>
          <w:szCs w:val="20"/>
          <w:lang w:val="ru-RU"/>
        </w:rPr>
        <w:lastRenderedPageBreak/>
        <w:t>работы 20 лет в российских и зарубежных компаниях.</w:t>
      </w:r>
      <w:r w:rsidRPr="002A2FE1">
        <w:rPr>
          <w:rFonts w:ascii="Arial" w:hAnsi="Arial" w:cs="Arial"/>
          <w:sz w:val="20"/>
          <w:szCs w:val="20"/>
        </w:rPr>
        <w:t> 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Автор</w:t>
      </w:r>
      <w:r w:rsidRPr="002A2FE1">
        <w:rPr>
          <w:rFonts w:ascii="Arial" w:hAnsi="Arial" w:cs="Arial"/>
          <w:sz w:val="20"/>
          <w:szCs w:val="20"/>
        </w:rPr>
        <w:t> </w:t>
      </w:r>
      <w:r w:rsidRPr="002A2FE1">
        <w:rPr>
          <w:rFonts w:ascii="Arial" w:hAnsi="Arial" w:cs="Arial"/>
          <w:sz w:val="20"/>
          <w:szCs w:val="20"/>
          <w:lang w:val="ru-RU"/>
        </w:rPr>
        <w:t>многочисленных статей об управлении человеческими ресурсами, опубликованных в российских и международных СМИ.</w:t>
      </w:r>
    </w:p>
    <w:p w14:paraId="60250CAE" w14:textId="77777777" w:rsidR="00341EE1" w:rsidRPr="002A2FE1" w:rsidRDefault="00341EE1" w:rsidP="00341EE1">
      <w:pPr>
        <w:tabs>
          <w:tab w:val="left" w:pos="142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</w:rPr>
        <w:t> </w:t>
      </w:r>
      <w:r w:rsidRPr="002A2FE1">
        <w:rPr>
          <w:rFonts w:ascii="Arial" w:hAnsi="Arial" w:cs="Arial"/>
          <w:b/>
          <w:sz w:val="20"/>
          <w:szCs w:val="20"/>
          <w:lang w:val="ru-RU"/>
        </w:rPr>
        <w:t>Специализируется на экономике труда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: системы вознаграждения, </w:t>
      </w:r>
      <w:r w:rsidRPr="002A2FE1">
        <w:rPr>
          <w:rFonts w:ascii="Arial" w:hAnsi="Arial" w:cs="Arial"/>
          <w:sz w:val="20"/>
          <w:szCs w:val="20"/>
        </w:rPr>
        <w:t>KPI</w:t>
      </w:r>
      <w:r w:rsidRPr="002A2FE1">
        <w:rPr>
          <w:rFonts w:ascii="Arial" w:hAnsi="Arial" w:cs="Arial"/>
          <w:sz w:val="20"/>
          <w:szCs w:val="20"/>
          <w:lang w:val="ru-RU"/>
        </w:rPr>
        <w:t>, нормирование, планирование персонала, управление эффективностью.</w:t>
      </w:r>
      <w:r w:rsidRPr="002A2FE1">
        <w:rPr>
          <w:rFonts w:ascii="Arial" w:hAnsi="Arial" w:cs="Arial"/>
          <w:sz w:val="20"/>
          <w:szCs w:val="20"/>
        </w:rPr>
        <w:t> </w:t>
      </w:r>
    </w:p>
    <w:p w14:paraId="08644AC7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b/>
          <w:spacing w:val="2"/>
          <w:sz w:val="20"/>
          <w:szCs w:val="20"/>
          <w:lang w:eastAsia="ru-RU"/>
        </w:rPr>
      </w:pPr>
      <w:r w:rsidRPr="002A2FE1">
        <w:rPr>
          <w:rFonts w:ascii="Arial" w:eastAsia="Times New Roman" w:hAnsi="Arial" w:cs="Arial"/>
          <w:b/>
          <w:spacing w:val="2"/>
          <w:sz w:val="20"/>
          <w:szCs w:val="20"/>
          <w:lang w:eastAsia="ru-RU"/>
        </w:rPr>
        <w:t>Профессиональные компетенции:</w:t>
      </w:r>
    </w:p>
    <w:p w14:paraId="0A95666C" w14:textId="77777777" w:rsidR="00341EE1" w:rsidRPr="002A2F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2A2FE1">
        <w:rPr>
          <w:rFonts w:ascii="Arial" w:eastAsia="Times New Roman" w:hAnsi="Arial" w:cs="Arial"/>
          <w:spacing w:val="2"/>
          <w:sz w:val="20"/>
          <w:szCs w:val="20"/>
          <w:lang w:eastAsia="ru-RU"/>
        </w:rPr>
        <w:t>Построение системы управления персоналом.</w:t>
      </w:r>
    </w:p>
    <w:p w14:paraId="20870491" w14:textId="77777777" w:rsidR="00341EE1" w:rsidRPr="002A2F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  <w:t>Построение грейдинга, систем вознаграждения и льгот.</w:t>
      </w:r>
    </w:p>
    <w:p w14:paraId="76C70584" w14:textId="77777777" w:rsidR="00341EE1" w:rsidRPr="002A2F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  <w:t>Профессиональное и карьерное развитие сотрудников.</w:t>
      </w:r>
    </w:p>
    <w:p w14:paraId="4C2B86CC" w14:textId="77777777" w:rsidR="00341EE1" w:rsidRPr="002A2F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  <w:t>Разработка программ и системы обучения сотрудников в компании.</w:t>
      </w:r>
      <w:r w:rsidRPr="002A2FE1">
        <w:rPr>
          <w:rFonts w:ascii="Arial" w:eastAsia="Times New Roman" w:hAnsi="Arial" w:cs="Arial"/>
          <w:spacing w:val="2"/>
          <w:sz w:val="20"/>
          <w:szCs w:val="20"/>
          <w:lang w:eastAsia="ru-RU"/>
        </w:rPr>
        <w:t> </w:t>
      </w:r>
    </w:p>
    <w:p w14:paraId="3CDF250A" w14:textId="77777777" w:rsidR="00341EE1" w:rsidRPr="002A2F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  <w:t xml:space="preserve">Разработка системы целей и показателей их достижения. </w:t>
      </w:r>
      <w:r w:rsidRPr="002A2FE1">
        <w:rPr>
          <w:rFonts w:ascii="Arial" w:eastAsia="Times New Roman" w:hAnsi="Arial" w:cs="Arial"/>
          <w:spacing w:val="2"/>
          <w:sz w:val="20"/>
          <w:szCs w:val="20"/>
          <w:lang w:eastAsia="ru-RU"/>
        </w:rPr>
        <w:t>  </w:t>
      </w:r>
    </w:p>
    <w:p w14:paraId="579CBDCF" w14:textId="77777777" w:rsidR="00341EE1" w:rsidRPr="002A2F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pacing w:val="2"/>
          <w:sz w:val="20"/>
          <w:szCs w:val="20"/>
          <w:lang w:val="ru-RU" w:eastAsia="ru-RU"/>
        </w:rPr>
        <w:t>Карьерный коучинг и карьерное консультирование.</w:t>
      </w:r>
      <w:r w:rsidRPr="002A2FE1">
        <w:rPr>
          <w:rFonts w:ascii="Arial" w:eastAsia="Times New Roman" w:hAnsi="Arial" w:cs="Arial"/>
          <w:spacing w:val="2"/>
          <w:sz w:val="20"/>
          <w:szCs w:val="20"/>
          <w:lang w:eastAsia="ru-RU"/>
        </w:rPr>
        <w:t> </w:t>
      </w:r>
    </w:p>
    <w:p w14:paraId="332A8B7C" w14:textId="77777777" w:rsidR="00341EE1" w:rsidRPr="002A2FE1" w:rsidRDefault="00341EE1" w:rsidP="00341EE1">
      <w:pPr>
        <w:numPr>
          <w:ilvl w:val="0"/>
          <w:numId w:val="2"/>
        </w:numPr>
        <w:pBdr>
          <w:top w:val="single" w:sz="6" w:space="0" w:color="EEF0F3"/>
          <w:bottom w:val="single" w:sz="6" w:space="11" w:color="EEF0F3"/>
        </w:pBdr>
        <w:shd w:val="clear" w:color="auto" w:fill="FFFFFF"/>
        <w:spacing w:after="0"/>
        <w:ind w:left="0" w:firstLine="425"/>
        <w:rPr>
          <w:rFonts w:ascii="Arial" w:eastAsia="Times New Roman" w:hAnsi="Arial" w:cs="Arial"/>
          <w:spacing w:val="2"/>
          <w:sz w:val="20"/>
          <w:szCs w:val="20"/>
          <w:lang w:eastAsia="ru-RU"/>
        </w:rPr>
      </w:pPr>
      <w:r w:rsidRPr="002A2FE1">
        <w:rPr>
          <w:rFonts w:ascii="Arial" w:eastAsia="Times New Roman" w:hAnsi="Arial" w:cs="Arial"/>
          <w:spacing w:val="2"/>
          <w:sz w:val="20"/>
          <w:szCs w:val="20"/>
          <w:lang w:eastAsia="ru-RU"/>
        </w:rPr>
        <w:t>HR-маркетинг и брендинг. </w:t>
      </w:r>
    </w:p>
    <w:p w14:paraId="0235F35C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eastAsia="ru-RU"/>
        </w:rPr>
      </w:pPr>
      <w:r w:rsidRPr="002A2FE1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Образование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14:paraId="6AC5C5B2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z w:val="20"/>
          <w:szCs w:val="20"/>
          <w:lang w:eastAsia="ru-RU"/>
        </w:rPr>
        <w:t>2004 - Thunderbird – The Garvin School of International Management (USA), CBSD, Москва  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br/>
        <w:t>1999 - 2001 – Высшая коммерческая школа при Минэкономразвития РФ совместно с International European Management Institute (France) - Магистр делового администрирования (МВА). 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1980-1985 – Коми – Государственный педагогический институт. (Преподаватель английского и немецкого языков)</w:t>
      </w:r>
    </w:p>
    <w:p w14:paraId="403E1D20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Практическая деятельность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в области управления персоналом (по убыванию):</w:t>
      </w:r>
    </w:p>
    <w:p w14:paraId="29F02EEA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ОАО «Эффортел» (телекоммуникации), директор по персоналу и организационному развитию группы компаний (в настоящее время).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br/>
        <w:t>ЗАО «Пивоварня Москва-Эфес» (Турция, производство напитков), директор по персоналу Московского завода.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br/>
        <w:t>ЗАО "КОМКОР-ТВ" (бренд АКАДО, телекоммуникации),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директор по персоналу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br/>
        <w:t>Группа «Лафарж» (Франция, производство цемента), ОАО “Воскресенскцемент» - директор по управлению персоналом, региональный менеджер по управлению персоналом управляющей компании.</w:t>
      </w:r>
    </w:p>
    <w:p w14:paraId="7E449C1F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Консалтинг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:</w:t>
      </w:r>
    </w:p>
    <w:p w14:paraId="29265EA7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Построение системы управления персоналом, построение грейдинга, систем вознаграждения и льгот, профессиональное и карьерное развитие сотрудников, разработка программ и системы обучения сотрудников в компании. Разработка системы целей и показателей их достижения.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Карьерный коучинг и карьерное консультирование. 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HR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-маркетинг и брендинг.</w:t>
      </w:r>
    </w:p>
    <w:p w14:paraId="4009FD37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b/>
          <w:bCs/>
          <w:sz w:val="20"/>
          <w:szCs w:val="20"/>
          <w:lang w:val="ru-RU" w:eastAsia="ru-RU"/>
        </w:rPr>
        <w:t>Международные стажировки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:</w:t>
      </w:r>
    </w:p>
    <w:p w14:paraId="5A440AEF" w14:textId="77777777" w:rsidR="00341EE1" w:rsidRPr="002A2FE1" w:rsidRDefault="00341EE1" w:rsidP="00341EE1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lang w:val="ru-RU" w:eastAsia="ru-RU"/>
        </w:rPr>
      </w:pP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2004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– 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Lafarge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, Париж, Франция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br/>
        <w:t>2002,2003 —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Lafarge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, Франкфурт-на-Майне, ФРГ.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br/>
        <w:t>2001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– 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Lafarge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, Лион, Франция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br/>
        <w:t>1994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- 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NNR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Group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, Дания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br/>
        <w:t>1993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 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– 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TMR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 xml:space="preserve"> 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Group</w:t>
      </w:r>
      <w:r w:rsidRPr="002A2FE1">
        <w:rPr>
          <w:rFonts w:ascii="Arial" w:eastAsia="Times New Roman" w:hAnsi="Arial" w:cs="Arial"/>
          <w:sz w:val="20"/>
          <w:szCs w:val="20"/>
          <w:lang w:val="ru-RU" w:eastAsia="ru-RU"/>
        </w:rPr>
        <w:t>, Великобритания</w:t>
      </w:r>
      <w:r w:rsidRPr="002A2FE1">
        <w:rPr>
          <w:rFonts w:ascii="Arial" w:eastAsia="Times New Roman" w:hAnsi="Arial" w:cs="Arial"/>
          <w:sz w:val="20"/>
          <w:szCs w:val="20"/>
          <w:lang w:eastAsia="ru-RU"/>
        </w:rPr>
        <w:t> </w:t>
      </w:r>
    </w:p>
    <w:p w14:paraId="10016422" w14:textId="77777777" w:rsidR="00341EE1" w:rsidRDefault="00341EE1" w:rsidP="00D51EE6">
      <w:pPr>
        <w:spacing w:after="0"/>
        <w:rPr>
          <w:rFonts w:ascii="Arial" w:hAnsi="Arial" w:cs="Arial"/>
          <w:lang w:val="ru-RU"/>
        </w:rPr>
      </w:pPr>
    </w:p>
    <w:p w14:paraId="48DED79E" w14:textId="77777777" w:rsidR="00341EE1" w:rsidRDefault="00341EE1" w:rsidP="00D51EE6">
      <w:pPr>
        <w:spacing w:after="0"/>
        <w:rPr>
          <w:rFonts w:ascii="Arial" w:hAnsi="Arial" w:cs="Arial"/>
          <w:lang w:val="ru-RU"/>
        </w:rPr>
      </w:pPr>
    </w:p>
    <w:p w14:paraId="331A5EE0" w14:textId="206B2107" w:rsidR="00D51EE6" w:rsidRPr="002A2FE1" w:rsidRDefault="00D51EE6" w:rsidP="00D51EE6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 xml:space="preserve">Организатор мероприятия </w:t>
      </w:r>
      <w:r w:rsidRPr="002A2FE1">
        <w:rPr>
          <w:rFonts w:ascii="Arial" w:hAnsi="Arial" w:cs="Arial"/>
          <w:b/>
          <w:sz w:val="20"/>
          <w:szCs w:val="20"/>
          <w:lang w:val="ru-RU"/>
        </w:rPr>
        <w:t>Центр Бизнес-Образования КВАНТОР-М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</w:t>
      </w:r>
      <w:r w:rsidRPr="002A2FE1">
        <w:rPr>
          <w:rFonts w:ascii="Arial" w:hAnsi="Arial" w:cs="Arial"/>
          <w:sz w:val="20"/>
          <w:szCs w:val="20"/>
        </w:rPr>
        <w:t>https</w:t>
      </w:r>
      <w:r w:rsidRPr="002A2FE1">
        <w:rPr>
          <w:rFonts w:ascii="Arial" w:hAnsi="Arial" w:cs="Arial"/>
          <w:sz w:val="20"/>
          <w:szCs w:val="20"/>
          <w:lang w:val="ru-RU"/>
        </w:rPr>
        <w:t>://</w:t>
      </w:r>
      <w:r w:rsidRPr="002A2FE1">
        <w:rPr>
          <w:rFonts w:ascii="Arial" w:hAnsi="Arial" w:cs="Arial"/>
          <w:sz w:val="20"/>
          <w:szCs w:val="20"/>
        </w:rPr>
        <w:t>quantorm</w:t>
      </w:r>
      <w:r w:rsidRPr="002A2FE1">
        <w:rPr>
          <w:rFonts w:ascii="Arial" w:hAnsi="Arial" w:cs="Arial"/>
          <w:sz w:val="20"/>
          <w:szCs w:val="20"/>
          <w:lang w:val="ru-RU"/>
        </w:rPr>
        <w:t>.</w:t>
      </w:r>
      <w:r w:rsidRPr="002A2FE1">
        <w:rPr>
          <w:rFonts w:ascii="Arial" w:hAnsi="Arial" w:cs="Arial"/>
          <w:sz w:val="20"/>
          <w:szCs w:val="20"/>
        </w:rPr>
        <w:t>ru</w:t>
      </w:r>
      <w:r w:rsidRPr="002A2FE1">
        <w:rPr>
          <w:rFonts w:ascii="Arial" w:hAnsi="Arial" w:cs="Arial"/>
          <w:sz w:val="20"/>
          <w:szCs w:val="20"/>
          <w:lang w:val="ru-RU"/>
        </w:rPr>
        <w:t>/</w:t>
      </w:r>
    </w:p>
    <w:p w14:paraId="15B69111" w14:textId="77777777" w:rsidR="00D51EE6" w:rsidRPr="002A2FE1" w:rsidRDefault="00D51EE6" w:rsidP="00D51EE6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b/>
          <w:sz w:val="20"/>
          <w:szCs w:val="20"/>
          <w:lang w:val="ru-RU"/>
        </w:rPr>
        <w:t>Место проведения</w:t>
      </w:r>
      <w:r w:rsidRPr="002A2FE1">
        <w:rPr>
          <w:rFonts w:ascii="Arial" w:hAnsi="Arial" w:cs="Arial"/>
          <w:sz w:val="20"/>
          <w:szCs w:val="20"/>
          <w:lang w:val="ru-RU"/>
        </w:rPr>
        <w:t>: г. Набережные Челны, ул. Машиностроительная, 91 (</w:t>
      </w:r>
      <w:r w:rsidRPr="002A2FE1">
        <w:rPr>
          <w:rFonts w:ascii="Arial" w:hAnsi="Arial" w:cs="Arial"/>
          <w:sz w:val="20"/>
          <w:szCs w:val="20"/>
        </w:rPr>
        <w:t>IT</w:t>
      </w:r>
      <w:r w:rsidRPr="002A2FE1">
        <w:rPr>
          <w:rFonts w:ascii="Arial" w:hAnsi="Arial" w:cs="Arial"/>
          <w:sz w:val="20"/>
          <w:szCs w:val="20"/>
          <w:lang w:val="ru-RU"/>
        </w:rPr>
        <w:t>-Парк)</w:t>
      </w:r>
    </w:p>
    <w:p w14:paraId="17E7FCEA" w14:textId="7992BF3A" w:rsidR="00D51EE6" w:rsidRPr="002A2FE1" w:rsidRDefault="00D51EE6" w:rsidP="00D51EE6">
      <w:pPr>
        <w:spacing w:after="0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b/>
          <w:sz w:val="20"/>
          <w:szCs w:val="20"/>
          <w:lang w:val="ru-RU"/>
        </w:rPr>
        <w:t>Форма проведения на выбор</w:t>
      </w:r>
      <w:r w:rsidR="00D41341" w:rsidRPr="002A2FE1">
        <w:rPr>
          <w:rFonts w:ascii="Arial" w:hAnsi="Arial" w:cs="Arial"/>
          <w:sz w:val="20"/>
          <w:szCs w:val="20"/>
          <w:lang w:val="ru-RU"/>
        </w:rPr>
        <w:t>: очно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или Онлайн </w:t>
      </w:r>
    </w:p>
    <w:p w14:paraId="39DE5847" w14:textId="77777777" w:rsidR="00D51EE6" w:rsidRPr="002A2FE1" w:rsidRDefault="00D51EE6" w:rsidP="00D51EE6">
      <w:pPr>
        <w:spacing w:after="0"/>
        <w:rPr>
          <w:rFonts w:ascii="Arial" w:hAnsi="Arial" w:cs="Arial"/>
          <w:color w:val="C00000"/>
          <w:sz w:val="20"/>
          <w:szCs w:val="20"/>
          <w:lang w:val="ru-RU"/>
        </w:rPr>
      </w:pPr>
    </w:p>
    <w:p w14:paraId="21ED6945" w14:textId="77777777" w:rsidR="00D51EE6" w:rsidRPr="002A2FE1" w:rsidRDefault="00D51EE6" w:rsidP="00D51EE6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14:paraId="2BEC4EDD" w14:textId="3405E9EE" w:rsidR="00D51EE6" w:rsidRPr="002A2FE1" w:rsidRDefault="00D51EE6" w:rsidP="00D51EE6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>Регистрационный взнос за участие одного представителя в очном формате -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40950</w:t>
      </w:r>
      <w:r w:rsidRPr="002A2FE1">
        <w:rPr>
          <w:rFonts w:ascii="Arial" w:hAnsi="Arial" w:cs="Arial"/>
          <w:b/>
          <w:sz w:val="20"/>
          <w:szCs w:val="20"/>
          <w:lang w:val="ru-RU"/>
        </w:rPr>
        <w:t xml:space="preserve"> руб. 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(в том числе НДС 5%)</w:t>
      </w:r>
      <w:r w:rsidRPr="002A2FE1">
        <w:rPr>
          <w:rFonts w:ascii="Arial" w:hAnsi="Arial" w:cs="Arial"/>
          <w:b/>
          <w:sz w:val="20"/>
          <w:szCs w:val="20"/>
          <w:lang w:val="ru-RU"/>
        </w:rPr>
        <w:t>.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При оплате </w:t>
      </w:r>
      <w:r w:rsidRPr="002A2FE1">
        <w:rPr>
          <w:rFonts w:ascii="Arial" w:hAnsi="Arial" w:cs="Arial"/>
          <w:b/>
          <w:sz w:val="20"/>
          <w:szCs w:val="20"/>
          <w:lang w:val="ru-RU"/>
        </w:rPr>
        <w:t xml:space="preserve">до </w:t>
      </w:r>
      <w:r w:rsidR="00B10445">
        <w:rPr>
          <w:rFonts w:ascii="Arial" w:hAnsi="Arial" w:cs="Arial"/>
          <w:b/>
          <w:sz w:val="20"/>
          <w:szCs w:val="20"/>
          <w:lang w:val="ru-RU"/>
        </w:rPr>
        <w:t>16 ноября</w:t>
      </w:r>
      <w:r w:rsidR="001908CA" w:rsidRPr="002A2FE1">
        <w:rPr>
          <w:rFonts w:ascii="Arial" w:hAnsi="Arial" w:cs="Arial"/>
          <w:b/>
          <w:sz w:val="20"/>
          <w:szCs w:val="20"/>
          <w:lang w:val="ru-RU"/>
        </w:rPr>
        <w:t xml:space="preserve"> 2026 </w:t>
      </w:r>
      <w:r w:rsidR="00D41341" w:rsidRPr="002A2FE1">
        <w:rPr>
          <w:rFonts w:ascii="Arial" w:hAnsi="Arial" w:cs="Arial"/>
          <w:b/>
          <w:sz w:val="20"/>
          <w:szCs w:val="20"/>
          <w:lang w:val="ru-RU"/>
        </w:rPr>
        <w:t>г</w:t>
      </w:r>
      <w:r w:rsidR="00D41341" w:rsidRPr="002A2FE1">
        <w:rPr>
          <w:rFonts w:ascii="Arial" w:hAnsi="Arial" w:cs="Arial"/>
          <w:b/>
          <w:bCs/>
          <w:sz w:val="20"/>
          <w:szCs w:val="20"/>
          <w:lang w:val="ru-RU"/>
        </w:rPr>
        <w:t xml:space="preserve"> (</w:t>
      </w:r>
      <w:r w:rsidRPr="002A2FE1">
        <w:rPr>
          <w:rFonts w:ascii="Arial" w:hAnsi="Arial" w:cs="Arial"/>
          <w:b/>
          <w:sz w:val="20"/>
          <w:szCs w:val="20"/>
          <w:lang w:val="ru-RU"/>
        </w:rPr>
        <w:t xml:space="preserve">скидка 10 %)- 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36855</w:t>
      </w:r>
      <w:r w:rsidRPr="002A2FE1">
        <w:rPr>
          <w:rFonts w:ascii="Arial" w:hAnsi="Arial" w:cs="Arial"/>
          <w:b/>
          <w:sz w:val="20"/>
          <w:szCs w:val="20"/>
          <w:lang w:val="ru-RU"/>
        </w:rPr>
        <w:t xml:space="preserve"> руб.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(в том числе НДС 5%)</w:t>
      </w:r>
    </w:p>
    <w:p w14:paraId="239A431D" w14:textId="104BF09F" w:rsidR="00D51EE6" w:rsidRPr="002A2FE1" w:rsidRDefault="00D51EE6" w:rsidP="00D51EE6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>Регистрационный взнос за участие одного представителя в онлайн формате -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36750</w:t>
      </w:r>
      <w:r w:rsidRPr="002A2FE1">
        <w:rPr>
          <w:rFonts w:ascii="Arial" w:hAnsi="Arial" w:cs="Arial"/>
          <w:b/>
          <w:sz w:val="20"/>
          <w:szCs w:val="20"/>
          <w:lang w:val="ru-RU"/>
        </w:rPr>
        <w:t xml:space="preserve"> руб. 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(в том числе НДС 5%)</w:t>
      </w:r>
      <w:r w:rsidRPr="002A2FE1">
        <w:rPr>
          <w:rFonts w:ascii="Arial" w:hAnsi="Arial" w:cs="Arial"/>
          <w:b/>
          <w:sz w:val="20"/>
          <w:szCs w:val="20"/>
          <w:lang w:val="ru-RU"/>
        </w:rPr>
        <w:t>.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При оплате </w:t>
      </w:r>
      <w:r w:rsidR="001908CA" w:rsidRPr="002A2FE1">
        <w:rPr>
          <w:rFonts w:ascii="Arial" w:hAnsi="Arial" w:cs="Arial"/>
          <w:b/>
          <w:sz w:val="20"/>
          <w:szCs w:val="20"/>
          <w:lang w:val="ru-RU"/>
        </w:rPr>
        <w:t xml:space="preserve">до </w:t>
      </w:r>
      <w:r w:rsidR="00B10445">
        <w:rPr>
          <w:rFonts w:ascii="Arial" w:hAnsi="Arial" w:cs="Arial"/>
          <w:b/>
          <w:sz w:val="20"/>
          <w:szCs w:val="20"/>
          <w:lang w:val="ru-RU"/>
        </w:rPr>
        <w:t>16 ноября</w:t>
      </w:r>
      <w:r w:rsidR="00B10445" w:rsidRPr="002A2FE1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="001908CA" w:rsidRPr="002A2FE1">
        <w:rPr>
          <w:rFonts w:ascii="Arial" w:hAnsi="Arial" w:cs="Arial"/>
          <w:b/>
          <w:sz w:val="20"/>
          <w:szCs w:val="20"/>
          <w:lang w:val="ru-RU"/>
        </w:rPr>
        <w:t>2026 г</w:t>
      </w:r>
      <w:r w:rsidR="001908CA" w:rsidRPr="002A2FE1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Pr="002A2FE1">
        <w:rPr>
          <w:rFonts w:ascii="Arial" w:hAnsi="Arial" w:cs="Arial"/>
          <w:b/>
          <w:bCs/>
          <w:sz w:val="20"/>
          <w:szCs w:val="20"/>
          <w:lang w:val="ru-RU"/>
        </w:rPr>
        <w:t>(</w:t>
      </w:r>
      <w:r w:rsidRPr="002A2FE1">
        <w:rPr>
          <w:rFonts w:ascii="Arial" w:hAnsi="Arial" w:cs="Arial"/>
          <w:b/>
          <w:sz w:val="20"/>
          <w:szCs w:val="20"/>
          <w:lang w:val="ru-RU"/>
        </w:rPr>
        <w:t xml:space="preserve">скидка 10 %)- 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33075</w:t>
      </w:r>
      <w:r w:rsidRPr="002A2FE1">
        <w:rPr>
          <w:rFonts w:ascii="Arial" w:hAnsi="Arial" w:cs="Arial"/>
          <w:b/>
          <w:sz w:val="20"/>
          <w:szCs w:val="20"/>
          <w:lang w:val="ru-RU"/>
        </w:rPr>
        <w:t xml:space="preserve"> руб.</w:t>
      </w:r>
      <w:r w:rsidRPr="002A2FE1">
        <w:rPr>
          <w:rFonts w:ascii="Arial" w:hAnsi="Arial" w:cs="Arial"/>
          <w:sz w:val="20"/>
          <w:szCs w:val="20"/>
          <w:lang w:val="ru-RU"/>
        </w:rPr>
        <w:t xml:space="preserve"> </w:t>
      </w:r>
      <w:r w:rsidR="00B04804" w:rsidRPr="002A2FE1">
        <w:rPr>
          <w:rFonts w:ascii="Arial" w:hAnsi="Arial" w:cs="Arial"/>
          <w:b/>
          <w:sz w:val="20"/>
          <w:szCs w:val="20"/>
          <w:lang w:val="ru-RU"/>
        </w:rPr>
        <w:t>(в том числе НДС 5%)</w:t>
      </w:r>
    </w:p>
    <w:p w14:paraId="700D664E" w14:textId="77777777" w:rsidR="00D51EE6" w:rsidRPr="002A2FE1" w:rsidRDefault="00D51EE6" w:rsidP="00D51EE6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</w:p>
    <w:p w14:paraId="4D1AB612" w14:textId="77777777" w:rsidR="00D51EE6" w:rsidRPr="002A2FE1" w:rsidRDefault="00D51EE6" w:rsidP="00D51EE6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bookmarkStart w:id="1" w:name="_GoBack"/>
      <w:bookmarkEnd w:id="1"/>
    </w:p>
    <w:p w14:paraId="14C7B492" w14:textId="77777777" w:rsidR="00D51EE6" w:rsidRPr="002A2FE1" w:rsidRDefault="00D51EE6" w:rsidP="00D51EE6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>Оплата регистрационного взноса обеспечивает: обед, кофе-паузы, комплект раздаточных материалов.</w:t>
      </w:r>
    </w:p>
    <w:p w14:paraId="282A312A" w14:textId="7FEBBFA7" w:rsidR="00D51EE6" w:rsidRPr="002A2FE1" w:rsidRDefault="00D51EE6" w:rsidP="00D51EE6">
      <w:pPr>
        <w:spacing w:after="0"/>
        <w:rPr>
          <w:rFonts w:ascii="Arial" w:hAnsi="Arial" w:cs="Arial"/>
          <w:b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 xml:space="preserve">По окончании семинара участникам выдается Сертификат установленного образца. </w:t>
      </w:r>
    </w:p>
    <w:p w14:paraId="75ACF311" w14:textId="77777777" w:rsidR="00D51EE6" w:rsidRPr="002A2FE1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  <w:lang w:val="ru-RU"/>
        </w:rPr>
      </w:pPr>
    </w:p>
    <w:p w14:paraId="06F5D914" w14:textId="77777777" w:rsidR="00D51EE6" w:rsidRPr="002A2FE1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b/>
          <w:sz w:val="20"/>
          <w:szCs w:val="20"/>
          <w:lang w:val="ru-RU"/>
        </w:rPr>
      </w:pPr>
      <w:r w:rsidRPr="002A2FE1">
        <w:rPr>
          <w:rFonts w:ascii="Arial" w:hAnsi="Arial" w:cs="Arial"/>
          <w:b/>
          <w:sz w:val="20"/>
          <w:szCs w:val="20"/>
          <w:lang w:val="ru-RU"/>
        </w:rPr>
        <w:t>Для консультации и регистрации обращайтесь по телефонам отдела продаж:</w:t>
      </w:r>
    </w:p>
    <w:p w14:paraId="20957829" w14:textId="77777777" w:rsidR="00D51EE6" w:rsidRPr="002A2FE1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>(8552) 47-72-80 / 8 927 465 5505 - Руководитель отдела Алия Гумяровна;</w:t>
      </w:r>
    </w:p>
    <w:p w14:paraId="212F7099" w14:textId="77777777" w:rsidR="00D51EE6" w:rsidRPr="002A2FE1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>(8552) 47-72-81 / 8 967 373 1326 - менеджер Ляйсан;</w:t>
      </w:r>
    </w:p>
    <w:p w14:paraId="33FF5DCC" w14:textId="77777777" w:rsidR="00D51EE6" w:rsidRPr="002A2FE1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>(8552) 40-84-74 / 8 937 611 5658 – менеджер Ирина;</w:t>
      </w:r>
    </w:p>
    <w:p w14:paraId="66BE2822" w14:textId="77777777" w:rsidR="00D51EE6" w:rsidRPr="002A2FE1" w:rsidRDefault="00D51EE6" w:rsidP="00D51EE6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>(8552) 40-84-75 / 8 927 440 7400 – менеджер Светлана.</w:t>
      </w:r>
    </w:p>
    <w:p w14:paraId="6CC3EAFA" w14:textId="358461A1" w:rsidR="00D51EE6" w:rsidRPr="00720ACB" w:rsidRDefault="00D51EE6" w:rsidP="00720ACB">
      <w:pPr>
        <w:spacing w:after="0"/>
        <w:ind w:right="-1"/>
        <w:jc w:val="both"/>
        <w:outlineLvl w:val="2"/>
        <w:rPr>
          <w:rFonts w:ascii="Arial" w:hAnsi="Arial" w:cs="Arial"/>
          <w:sz w:val="20"/>
          <w:szCs w:val="20"/>
          <w:lang w:val="ru-RU"/>
        </w:rPr>
      </w:pPr>
      <w:r w:rsidRPr="002A2FE1">
        <w:rPr>
          <w:rFonts w:ascii="Arial" w:hAnsi="Arial" w:cs="Arial"/>
          <w:sz w:val="20"/>
          <w:szCs w:val="20"/>
          <w:lang w:val="ru-RU"/>
        </w:rPr>
        <w:t xml:space="preserve">Телеграм-канал:   </w:t>
      </w:r>
      <w:r w:rsidRPr="002A2FE1">
        <w:rPr>
          <w:noProof/>
          <w:sz w:val="20"/>
          <w:szCs w:val="20"/>
        </w:rPr>
        <w:drawing>
          <wp:inline distT="0" distB="0" distL="0" distR="0" wp14:anchorId="0587CB5E" wp14:editId="70BE6875">
            <wp:extent cx="674923" cy="6521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64" cy="65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1EE6" w:rsidRPr="00720ACB" w:rsidSect="002A2FE1">
      <w:footnotePr>
        <w:numRestart w:val="eachSect"/>
      </w:footnotePr>
      <w:pgSz w:w="12240" w:h="15840"/>
      <w:pgMar w:top="0" w:right="850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2D4AD88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4028055F"/>
    <w:multiLevelType w:val="multilevel"/>
    <w:tmpl w:val="5FD28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D"/>
    <w:rsid w:val="000A5D06"/>
    <w:rsid w:val="000B4E1C"/>
    <w:rsid w:val="00112771"/>
    <w:rsid w:val="001908CA"/>
    <w:rsid w:val="001B087D"/>
    <w:rsid w:val="002A2FE1"/>
    <w:rsid w:val="00314B73"/>
    <w:rsid w:val="00321532"/>
    <w:rsid w:val="00341EE1"/>
    <w:rsid w:val="00360AF7"/>
    <w:rsid w:val="00614715"/>
    <w:rsid w:val="006A762C"/>
    <w:rsid w:val="00720ACB"/>
    <w:rsid w:val="00795A4C"/>
    <w:rsid w:val="00931393"/>
    <w:rsid w:val="00B04804"/>
    <w:rsid w:val="00B10445"/>
    <w:rsid w:val="00D41341"/>
    <w:rsid w:val="00D51EE6"/>
    <w:rsid w:val="00D6145E"/>
    <w:rsid w:val="00F66BFF"/>
    <w:rsid w:val="00FF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7A754E"/>
  <w15:docId w15:val="{60FDD303-16B3-42CA-9E0F-E691F888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0"/>
    <w:link w:val="30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0"/>
    <w:link w:val="50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0"/>
    <w:link w:val="60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0"/>
    <w:link w:val="70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0"/>
    <w:link w:val="80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0"/>
    <w:link w:val="90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link w:val="a5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4"/>
    <w:next w:val="a0"/>
    <w:link w:val="a7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8">
    <w:name w:val="Date"/>
    <w:next w:val="a0"/>
    <w:qFormat/>
    <w:pPr>
      <w:keepNext/>
      <w:keepLines/>
      <w:jc w:val="center"/>
    </w:pPr>
  </w:style>
  <w:style w:type="paragraph" w:customStyle="1" w:styleId="AbstractTitle">
    <w:name w:val="Abstract Title"/>
    <w:basedOn w:val="a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a"/>
    <w:next w:val="a0"/>
    <w:qFormat/>
    <w:pPr>
      <w:keepNext/>
      <w:keepLines/>
      <w:spacing w:before="100" w:after="300"/>
    </w:pPr>
    <w:rPr>
      <w:sz w:val="20"/>
      <w:szCs w:val="20"/>
    </w:rPr>
  </w:style>
  <w:style w:type="paragraph" w:styleId="a9">
    <w:name w:val="Bibliography"/>
    <w:basedOn w:val="a"/>
    <w:qFormat/>
  </w:style>
  <w:style w:type="character" w:customStyle="1" w:styleId="10">
    <w:name w:val="Заголовок 1 Знак"/>
    <w:basedOn w:val="a1"/>
    <w:link w:val="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aa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b">
    <w:name w:val="footnote text"/>
    <w:basedOn w:val="a"/>
    <w:uiPriority w:val="9"/>
    <w:unhideWhenUsed/>
    <w:qFormat/>
  </w:style>
  <w:style w:type="paragraph" w:customStyle="1" w:styleId="FootnoteBlockText">
    <w:name w:val="Footnote Block Text"/>
    <w:basedOn w:val="ab"/>
    <w:next w:val="ab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c">
    <w:name w:val="caption"/>
    <w:basedOn w:val="a"/>
    <w:link w:val="ad"/>
    <w:pPr>
      <w:spacing w:after="120"/>
    </w:pPr>
    <w:rPr>
      <w:i/>
    </w:rPr>
  </w:style>
  <w:style w:type="paragraph" w:customStyle="1" w:styleId="TableCaption">
    <w:name w:val="Table Caption"/>
    <w:basedOn w:val="ac"/>
    <w:pPr>
      <w:keepNext/>
    </w:pPr>
  </w:style>
  <w:style w:type="paragraph" w:customStyle="1" w:styleId="ImageCaption">
    <w:name w:val="Image Caption"/>
    <w:basedOn w:val="ac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d">
    <w:name w:val="Название объекта Знак"/>
    <w:basedOn w:val="a1"/>
    <w:link w:val="ac"/>
  </w:style>
  <w:style w:type="character" w:customStyle="1" w:styleId="VerbatimChar">
    <w:name w:val="Verbatim Char"/>
    <w:basedOn w:val="ad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d"/>
  </w:style>
  <w:style w:type="character" w:styleId="ae">
    <w:name w:val="footnote reference"/>
    <w:basedOn w:val="ad"/>
    <w:rPr>
      <w:vertAlign w:val="superscript"/>
    </w:rPr>
  </w:style>
  <w:style w:type="character" w:styleId="af">
    <w:name w:val="Hyperlink"/>
    <w:basedOn w:val="ad"/>
    <w:rPr>
      <w:color w:val="156082" w:themeColor="accent1"/>
    </w:rPr>
  </w:style>
  <w:style w:type="paragraph" w:styleId="af0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Bodrova</dc:creator>
  <cp:keywords/>
  <cp:lastModifiedBy>Учебный Центр</cp:lastModifiedBy>
  <cp:revision>20</cp:revision>
  <dcterms:created xsi:type="dcterms:W3CDTF">2025-09-01T15:43:00Z</dcterms:created>
  <dcterms:modified xsi:type="dcterms:W3CDTF">2026-03-13T13:41:00Z</dcterms:modified>
</cp:coreProperties>
</file>